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1C3B07C3">
      <w:pPr>
        <w:jc w:val="center"/>
        <w:rPr>
          <w:rFonts w:hint="default"/>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4029710</wp:posOffset>
                </wp:positionH>
                <wp:positionV relativeFrom="paragraph">
                  <wp:posOffset>2088515</wp:posOffset>
                </wp:positionV>
                <wp:extent cx="1915795" cy="807085"/>
                <wp:effectExtent l="0" t="0" r="0" b="0"/>
                <wp:wrapNone/>
                <wp:docPr id="8" name="文本框 8"/>
                <wp:cNvGraphicFramePr/>
                <a:graphic xmlns:a="http://schemas.openxmlformats.org/drawingml/2006/main">
                  <a:graphicData uri="http://schemas.microsoft.com/office/word/2010/wordprocessingShape">
                    <wps:wsp>
                      <wps:cNvSpPr txBox="1"/>
                      <wps:spPr>
                        <a:xfrm>
                          <a:off x="0" y="0"/>
                          <a:ext cx="1915795" cy="807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68475">
                            <w:pPr>
                              <w:rPr>
                                <w:rFonts w:hint="eastAsia"/>
                                <w:lang w:val="en-US" w:eastAsia="zh-CN"/>
                              </w:rPr>
                            </w:pPr>
                            <w:r>
                              <w:rPr>
                                <w:rFonts w:hint="eastAsia"/>
                                <w:lang w:val="en-US" w:eastAsia="zh-CN"/>
                              </w:rPr>
                              <w:t>数显屏</w:t>
                            </w:r>
                          </w:p>
                          <w:p w14:paraId="323884D2">
                            <w:pPr>
                              <w:rPr>
                                <w:rFonts w:hint="eastAsia"/>
                                <w:lang w:val="en-US" w:eastAsia="zh-CN"/>
                              </w:rPr>
                            </w:pPr>
                            <w:r>
                              <w:rPr>
                                <w:rFonts w:hint="eastAsia"/>
                                <w:lang w:val="en-US" w:eastAsia="zh-CN"/>
                              </w:rPr>
                              <w:t>显示充电仓剩余电量</w:t>
                            </w:r>
                          </w:p>
                          <w:p w14:paraId="523EF39C">
                            <w:pPr>
                              <w:rPr>
                                <w:rFonts w:hint="default"/>
                                <w:lang w:val="en-US" w:eastAsia="zh-CN"/>
                              </w:rPr>
                            </w:pPr>
                            <w:r>
                              <w:rPr>
                                <w:rFonts w:hint="eastAsia"/>
                                <w:lang w:val="en-US" w:eastAsia="zh-CN"/>
                              </w:rPr>
                              <w:t>显示左右耳从电状态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3pt;margin-top:164.45pt;height:63.55pt;width:150.85pt;z-index:251661312;mso-width-relative:page;mso-height-relative:page;" filled="f" stroked="f" coordsize="21600,21600" o:gfxdata="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Tnc+twAAAAMAQAADwAAAAAAAAABACAAAAAiAAAA&#10;ZHJzL2Rvd25yZXYueG1sUEsBAhQAFAAAAAgAh07iQLuj/dk8AgAAZgQAAA4AAAAAAAAAAQAgAAAA&#10;KwEAAGRycy9lMm9Eb2MueG1sUEsFBgAAAAAGAAYAWQEAANkFAAAAAA==&#10;">
                <v:fill on="f" focussize="0,0"/>
                <v:stroke on="f" weight="0.5pt"/>
                <v:imagedata o:title=""/>
                <o:lock v:ext="edit" aspectratio="f"/>
                <v:textbox>
                  <w:txbxContent>
                    <w:p w14:paraId="32268475">
                      <w:pPr>
                        <w:rPr>
                          <w:rFonts w:hint="eastAsia"/>
                          <w:lang w:val="en-US" w:eastAsia="zh-CN"/>
                        </w:rPr>
                      </w:pPr>
                      <w:r>
                        <w:rPr>
                          <w:rFonts w:hint="eastAsia"/>
                          <w:lang w:val="en-US" w:eastAsia="zh-CN"/>
                        </w:rPr>
                        <w:t>数显屏</w:t>
                      </w:r>
                    </w:p>
                    <w:p w14:paraId="323884D2">
                      <w:pPr>
                        <w:rPr>
                          <w:rFonts w:hint="eastAsia"/>
                          <w:lang w:val="en-US" w:eastAsia="zh-CN"/>
                        </w:rPr>
                      </w:pPr>
                      <w:r>
                        <w:rPr>
                          <w:rFonts w:hint="eastAsia"/>
                          <w:lang w:val="en-US" w:eastAsia="zh-CN"/>
                        </w:rPr>
                        <w:t>显示充电仓剩余电量</w:t>
                      </w:r>
                    </w:p>
                    <w:p w14:paraId="523EF39C">
                      <w:pPr>
                        <w:rPr>
                          <w:rFonts w:hint="default"/>
                          <w:lang w:val="en-US" w:eastAsia="zh-CN"/>
                        </w:rPr>
                      </w:pPr>
                      <w:r>
                        <w:rPr>
                          <w:rFonts w:hint="eastAsia"/>
                          <w:lang w:val="en-US" w:eastAsia="zh-CN"/>
                        </w:rPr>
                        <w:t>显示左右耳从电状态</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2999740</wp:posOffset>
                </wp:positionH>
                <wp:positionV relativeFrom="paragraph">
                  <wp:posOffset>2184400</wp:posOffset>
                </wp:positionV>
                <wp:extent cx="1111250" cy="3175"/>
                <wp:effectExtent l="0" t="0" r="0" b="0"/>
                <wp:wrapNone/>
                <wp:docPr id="19" name="直接连接符 19"/>
                <wp:cNvGraphicFramePr/>
                <a:graphic xmlns:a="http://schemas.openxmlformats.org/drawingml/2006/main">
                  <a:graphicData uri="http://schemas.microsoft.com/office/word/2010/wordprocessingShape">
                    <wps:wsp>
                      <wps:cNvCnPr/>
                      <wps:spPr>
                        <a:xfrm>
                          <a:off x="0" y="0"/>
                          <a:ext cx="1111250" cy="3175"/>
                        </a:xfrm>
                        <a:prstGeom prst="line">
                          <a:avLst/>
                        </a:prstGeom>
                        <a:ln>
                          <a:solidFill>
                            <a:schemeClr val="bg1">
                              <a:lumMod val="6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36.2pt;margin-top:172pt;height:0.25pt;width:87.5pt;z-index:251662336;mso-width-relative:page;mso-height-relative:page;" filled="f" stroked="t" coordsize="21600,21600" o:gfxdata="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viIf1gAAAAsBAAAPAAAAAAAAAAEAIAAAACIAAABkcnMvZG93bnJldi54bWxQ&#10;SwECFAAUAAAACACHTuJADD+3gPkBAADYAwAADgAAAAAAAAABACAAAAAlAQAAZHJzL2Uyb0RvYy54&#10;bWxQSwUGAAAAAAYABgBZAQAAkAUAAAAA&#10;">
                <v:fill on="f" focussize="0,0"/>
                <v:stroke weight="1pt" color="#A6A6A6 [209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-1036955</wp:posOffset>
                </wp:positionH>
                <wp:positionV relativeFrom="paragraph">
                  <wp:posOffset>1473200</wp:posOffset>
                </wp:positionV>
                <wp:extent cx="1392555" cy="37909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392555" cy="379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ACDA3">
                            <w:pPr>
                              <w:jc w:val="right"/>
                              <w:rPr>
                                <w:rFonts w:hint="default"/>
                                <w:lang w:val="en-US" w:eastAsia="zh-CN"/>
                              </w:rPr>
                            </w:pPr>
                            <w:r>
                              <w:rPr>
                                <w:rFonts w:hint="eastAsia"/>
                                <w:lang w:val="en-US" w:eastAsia="zh-CN"/>
                              </w:rPr>
                              <w:t>仓体氛围灯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65pt;margin-top:116pt;height:29.85pt;width:109.65pt;z-index:251659264;mso-width-relative:page;mso-height-relative:page;" filled="f" stroked="f" coordsize="21600,21600" o:gfxdata="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&#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rotzH2wAAAAwBAAAPAAAAAAAAAAEAIAAAACIAAABk&#10;cnMvZG93bnJldi54bWxQSwECFAAUAAAACACHTuJA2Bc+xDwCAABmBAAADgAAAAAAAAABACAAAAAq&#10;AQAAZHJzL2Uyb0RvYy54bWxQSwUGAAAAAAYABgBZAQAA2AUAAAAA&#10;">
                <v:fill on="f" focussize="0,0"/>
                <v:stroke on="f" weight="0.5pt"/>
                <v:imagedata o:title=""/>
                <o:lock v:ext="edit" aspectratio="f"/>
                <v:textbox>
                  <w:txbxContent>
                    <w:p w14:paraId="290ACDA3">
                      <w:pPr>
                        <w:jc w:val="right"/>
                        <w:rPr>
                          <w:rFonts w:hint="default"/>
                          <w:lang w:val="en-US" w:eastAsia="zh-CN"/>
                        </w:rPr>
                      </w:pPr>
                      <w:r>
                        <w:rPr>
                          <w:rFonts w:hint="eastAsia"/>
                          <w:lang w:val="en-US" w:eastAsia="zh-CN"/>
                        </w:rPr>
                        <w:t>仓体氛围灯</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248920</wp:posOffset>
                </wp:positionH>
                <wp:positionV relativeFrom="paragraph">
                  <wp:posOffset>1675130</wp:posOffset>
                </wp:positionV>
                <wp:extent cx="1111250" cy="3175"/>
                <wp:effectExtent l="0" t="0" r="0" b="0"/>
                <wp:wrapNone/>
                <wp:docPr id="21" name="直接连接符 21"/>
                <wp:cNvGraphicFramePr/>
                <a:graphic xmlns:a="http://schemas.openxmlformats.org/drawingml/2006/main">
                  <a:graphicData uri="http://schemas.microsoft.com/office/word/2010/wordprocessingShape">
                    <wps:wsp>
                      <wps:cNvCnPr/>
                      <wps:spPr>
                        <a:xfrm>
                          <a:off x="0" y="0"/>
                          <a:ext cx="1111250" cy="3175"/>
                        </a:xfrm>
                        <a:prstGeom prst="line">
                          <a:avLst/>
                        </a:prstGeom>
                        <a:ln>
                          <a:solidFill>
                            <a:schemeClr val="bg1">
                              <a:lumMod val="6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9.6pt;margin-top:131.9pt;height:0.25pt;width:87.5pt;z-index:251664384;mso-width-relative:page;mso-height-relative:page;" filled="f" stroked="t" coordsize="21600,21600" o:gfxdata="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nOkMDVAAAACgEAAA8AAAAAAAAAAQAgAAAAIgAAAGRycy9kb3ducmV2LnhtbFBL&#10;AQIUABQAAAAIAIdO4kCeGBUu+QEAANgDAAAOAAAAAAAAAAEAIAAAACQBAABkcnMvZTJvRG9jLnht&#10;bFBLBQYAAAAABgAGAFkBAACPBQAAAAA=&#10;">
                <v:fill on="f" focussize="0,0"/>
                <v:stroke weight="1pt" color="#A6A6A6 [209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1789430</wp:posOffset>
                </wp:positionH>
                <wp:positionV relativeFrom="paragraph">
                  <wp:posOffset>3166110</wp:posOffset>
                </wp:positionV>
                <wp:extent cx="1392555" cy="37909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392555" cy="379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DDA96D">
                            <w:pPr>
                              <w:rPr>
                                <w:rFonts w:hint="default"/>
                                <w:lang w:val="en-US" w:eastAsia="zh-CN"/>
                              </w:rPr>
                            </w:pPr>
                            <w:r>
                              <w:rPr>
                                <w:rFonts w:hint="eastAsia"/>
                                <w:lang w:val="en-US" w:eastAsia="zh-CN"/>
                              </w:rPr>
                              <w:t>功能按键兼指示灯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9pt;margin-top:249.3pt;height:29.85pt;width:109.65pt;z-index:251660288;mso-width-relative:page;mso-height-relative:page;" filled="f" stroked="f" coordsize="21600,21600" o:gfxdata="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&#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4xlnv3AAAAAsBAAAPAAAAAAAAAAEAIAAAACIAAABk&#10;cnMvZG93bnJldi54bWxQSwECFAAUAAAACACHTuJAXAEkbzsCAABmBAAADgAAAAAAAAABACAAAAAr&#10;AQAAZHJzL2Uyb0RvYy54bWxQSwUGAAAAAAYABgBZAQAA2AUAAAAA&#10;">
                <v:fill on="f" focussize="0,0"/>
                <v:stroke on="f" weight="0.5pt"/>
                <v:imagedata o:title=""/>
                <o:lock v:ext="edit" aspectratio="f"/>
                <v:textbox>
                  <w:txbxContent>
                    <w:p w14:paraId="72DDA96D">
                      <w:pPr>
                        <w:rPr>
                          <w:rFonts w:hint="default"/>
                          <w:lang w:val="en-US" w:eastAsia="zh-CN"/>
                        </w:rPr>
                      </w:pPr>
                      <w:r>
                        <w:rPr>
                          <w:rFonts w:hint="eastAsia"/>
                          <w:lang w:val="en-US" w:eastAsia="zh-CN"/>
                        </w:rPr>
                        <w:t>功能按键兼指示灯</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1906905</wp:posOffset>
                </wp:positionH>
                <wp:positionV relativeFrom="paragraph">
                  <wp:posOffset>2230120</wp:posOffset>
                </wp:positionV>
                <wp:extent cx="5080" cy="1009015"/>
                <wp:effectExtent l="6350" t="0" r="7620" b="635"/>
                <wp:wrapNone/>
                <wp:docPr id="20" name="直接连接符 20"/>
                <wp:cNvGraphicFramePr/>
                <a:graphic xmlns:a="http://schemas.openxmlformats.org/drawingml/2006/main">
                  <a:graphicData uri="http://schemas.microsoft.com/office/word/2010/wordprocessingShape">
                    <wps:wsp>
                      <wps:cNvCnPr/>
                      <wps:spPr>
                        <a:xfrm>
                          <a:off x="0" y="0"/>
                          <a:ext cx="5080" cy="1009015"/>
                        </a:xfrm>
                        <a:prstGeom prst="line">
                          <a:avLst/>
                        </a:prstGeom>
                        <a:ln>
                          <a:solidFill>
                            <a:schemeClr val="bg1">
                              <a:lumMod val="6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50.15pt;margin-top:175.6pt;height:79.45pt;width:0.4pt;z-index:251663360;mso-width-relative:page;mso-height-relative:page;" filled="f" stroked="t" coordsize="21600,21600" o:gfxdata="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cLS2L1gAAAAsBAAAPAAAAAAAAAAEAIAAAACIAAABkcnMvZG93bnJldi54bWxQ&#10;SwECFAAUAAAACACHTuJAwvJXjvkBAADYAwAADgAAAAAAAAABACAAAAAlAQAAZHJzL2Uyb0RvYy54&#10;bWxQSwUGAAAAAAYABgBZAQAAkAUAAAAA&#10;">
                <v:fill on="f" focussize="0,0"/>
                <v:stroke weight="1pt" color="#A6A6A6 [2092]" miterlimit="8" joinstyle="miter" dashstyle="dash"/>
                <v:imagedata o:title=""/>
                <o:lock v:ext="edit" aspectratio="f"/>
              </v:line>
            </w:pict>
          </mc:Fallback>
        </mc:AlternateContent>
      </w:r>
      <w:r>
        <w:drawing>
          <wp:inline distT="0" distB="0" distL="114300" distR="114300">
            <wp:extent cx="3175000" cy="3171190"/>
            <wp:effectExtent l="0" t="0" r="635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175000" cy="3171190"/>
                    </a:xfrm>
                    <a:prstGeom prst="rect">
                      <a:avLst/>
                    </a:prstGeom>
                    <a:noFill/>
                    <a:ln>
                      <a:noFill/>
                    </a:ln>
                  </pic:spPr>
                </pic:pic>
              </a:graphicData>
            </a:graphic>
          </wp:inline>
        </w:drawing>
      </w: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649220" cy="3503295"/>
            <wp:effectExtent l="0" t="0" r="17780" b="190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2649220" cy="3503295"/>
                    </a:xfrm>
                    <a:prstGeom prst="rect">
                      <a:avLst/>
                    </a:prstGeom>
                    <a:noFill/>
                    <a:ln>
                      <a:noFill/>
                    </a:ln>
                  </pic:spPr>
                </pic:pic>
              </a:graphicData>
            </a:graphic>
          </wp:inline>
        </w:drawing>
      </w:r>
      <w:r>
        <w:drawing>
          <wp:inline distT="0" distB="0" distL="114300" distR="114300">
            <wp:extent cx="2275205" cy="3505200"/>
            <wp:effectExtent l="0" t="0" r="10795"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
                    <a:stretch>
                      <a:fillRect/>
                    </a:stretch>
                  </pic:blipFill>
                  <pic:spPr>
                    <a:xfrm>
                      <a:off x="0" y="0"/>
                      <a:ext cx="2275205" cy="3505200"/>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numPr>
          <w:ilvl w:val="0"/>
          <w:numId w:val="0"/>
        </w:numPr>
        <w:rPr>
          <w:rFonts w:hint="default" w:ascii="微软雅黑" w:hAnsi="微软雅黑" w:eastAsia="微软雅黑" w:cs="微软雅黑"/>
          <w:b/>
          <w:bCs/>
          <w:sz w:val="24"/>
          <w:szCs w:val="32"/>
          <w:lang w:val="en-US" w:eastAsia="zh-CN"/>
        </w:rPr>
      </w:pPr>
      <w:r>
        <w:rPr>
          <w:rFonts w:hint="default" w:ascii="微软雅黑" w:hAnsi="微软雅黑" w:eastAsia="微软雅黑" w:cs="微软雅黑"/>
          <w:b/>
          <w:bCs/>
          <w:sz w:val="24"/>
          <w:szCs w:val="32"/>
          <w:lang w:val="en-US" w:eastAsia="zh-CN"/>
        </w:rPr>
        <w:drawing>
          <wp:inline distT="0" distB="0" distL="114300" distR="114300">
            <wp:extent cx="5261610" cy="2735580"/>
            <wp:effectExtent l="0" t="0" r="15240" b="7620"/>
            <wp:docPr id="12" name="图片 12" descr="173087586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30875868378"/>
                    <pic:cNvPicPr>
                      <a:picLocks noChangeAspect="1"/>
                    </pic:cNvPicPr>
                  </pic:nvPicPr>
                  <pic:blipFill>
                    <a:blip r:embed="rId7"/>
                    <a:stretch>
                      <a:fillRect/>
                    </a:stretch>
                  </pic:blipFill>
                  <pic:spPr>
                    <a:xfrm>
                      <a:off x="0" y="0"/>
                      <a:ext cx="5261610" cy="2735580"/>
                    </a:xfrm>
                    <a:prstGeom prst="rect">
                      <a:avLst/>
                    </a:prstGeom>
                  </pic:spPr>
                </pic:pic>
              </a:graphicData>
            </a:graphic>
          </wp:inline>
        </w:drawing>
      </w:r>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15FBC208">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1.连接操作</w:t>
      </w:r>
    </w:p>
    <w:p w14:paraId="1D7244F2">
      <w:pPr>
        <w:bidi w:val="0"/>
        <w:rPr>
          <w:rFonts w:hint="eastAsia"/>
          <w:lang w:val="en-US" w:eastAsia="zh-CN"/>
        </w:rPr>
      </w:pPr>
      <w:r>
        <w:rPr>
          <w:rFonts w:hint="eastAsia"/>
          <w:lang w:val="en-US" w:eastAsia="zh-CN"/>
        </w:rPr>
        <w:t>耳机取出充电仓后，耳机触控区域蓝灯闪烁，手机设备打开蓝牙设置，搜索TWS完成配对即可使用，耳机指示灯灭灯</w:t>
      </w:r>
    </w:p>
    <w:p w14:paraId="4EACC6CA">
      <w:pPr>
        <w:bidi w:val="0"/>
        <w:rPr>
          <w:rFonts w:hint="eastAsia"/>
          <w:lang w:val="en-US" w:eastAsia="zh-CN"/>
        </w:rPr>
      </w:pPr>
      <w:r>
        <w:rPr>
          <w:rFonts w:hint="eastAsia"/>
          <w:lang w:val="en-US" w:eastAsia="zh-CN"/>
        </w:rPr>
        <w:t>耳机触控：</w:t>
      </w:r>
    </w:p>
    <w:p w14:paraId="3C546B42">
      <w:pPr>
        <w:bidi w:val="0"/>
        <w:rPr>
          <w:rFonts w:hint="eastAsia"/>
          <w:lang w:val="en-US" w:eastAsia="zh-CN"/>
        </w:rPr>
      </w:pPr>
      <w:r>
        <w:rPr>
          <w:rFonts w:hint="eastAsia"/>
          <w:lang w:val="en-US" w:eastAsia="zh-CN"/>
        </w:rPr>
        <w:t>在处于未连接状态下，双击耳机按键，切换中英文</w:t>
      </w:r>
    </w:p>
    <w:p w14:paraId="7A6125FA">
      <w:pPr>
        <w:bidi w:val="0"/>
        <w:rPr>
          <w:rFonts w:hint="eastAsia"/>
          <w:lang w:val="en-US" w:eastAsia="zh-CN"/>
        </w:rPr>
      </w:pPr>
    </w:p>
    <w:p w14:paraId="717D0D3C">
      <w:pPr>
        <w:bidi w:val="0"/>
        <w:rPr>
          <w:rFonts w:hint="eastAsia"/>
          <w:lang w:val="en-US" w:eastAsia="zh-CN"/>
        </w:rPr>
      </w:pPr>
      <w:r>
        <w:rPr>
          <w:rFonts w:hint="eastAsia"/>
          <w:lang w:val="en-US" w:eastAsia="zh-CN"/>
        </w:rPr>
        <w:t>连接状态下</w:t>
      </w:r>
    </w:p>
    <w:p w14:paraId="561EAA2D">
      <w:pPr>
        <w:bidi w:val="0"/>
        <w:rPr>
          <w:rFonts w:hint="eastAsia"/>
          <w:lang w:val="en-US" w:eastAsia="zh-CN"/>
        </w:rPr>
      </w:pPr>
      <w:r>
        <w:rPr>
          <w:rFonts w:hint="eastAsia"/>
          <w:lang w:val="en-US" w:eastAsia="zh-CN"/>
        </w:rPr>
        <w:t>单击耳机按键，暂停或继续播放</w:t>
      </w:r>
    </w:p>
    <w:p w14:paraId="132A5773">
      <w:pPr>
        <w:bidi w:val="0"/>
        <w:rPr>
          <w:rFonts w:hint="eastAsia"/>
          <w:lang w:val="en-US" w:eastAsia="zh-CN"/>
        </w:rPr>
      </w:pPr>
      <w:r>
        <w:rPr>
          <w:rFonts w:hint="eastAsia"/>
          <w:lang w:val="en-US" w:eastAsia="zh-CN"/>
        </w:rPr>
        <w:t>耳机双击切换上下一曲，三击调整音量</w:t>
      </w:r>
    </w:p>
    <w:p w14:paraId="2119E160">
      <w:pPr>
        <w:bidi w:val="0"/>
        <w:rPr>
          <w:rFonts w:hint="eastAsia"/>
          <w:lang w:val="en-US" w:eastAsia="zh-CN"/>
        </w:rPr>
      </w:pPr>
      <w:r>
        <w:rPr>
          <w:rFonts w:hint="eastAsia"/>
          <w:lang w:val="en-US" w:eastAsia="zh-CN"/>
        </w:rPr>
        <w:t>长按三秒唤醒语音助手</w:t>
      </w:r>
    </w:p>
    <w:p w14:paraId="169C82A1">
      <w:pPr>
        <w:bidi w:val="0"/>
        <w:rPr>
          <w:rFonts w:hint="eastAsia"/>
          <w:lang w:val="en-US" w:eastAsia="zh-CN"/>
        </w:rPr>
      </w:pPr>
      <w:r>
        <w:rPr>
          <w:rFonts w:hint="eastAsia"/>
          <w:lang w:val="en-US" w:eastAsia="zh-CN"/>
        </w:rPr>
        <w:t>长按五秒关机</w:t>
      </w:r>
    </w:p>
    <w:p w14:paraId="073D2FD6">
      <w:pPr>
        <w:bidi w:val="0"/>
        <w:rPr>
          <w:rFonts w:hint="eastAsia"/>
          <w:lang w:val="en-US" w:eastAsia="zh-CN"/>
        </w:rPr>
      </w:pPr>
    </w:p>
    <w:p w14:paraId="145AB010">
      <w:pPr>
        <w:bidi w:val="0"/>
        <w:rPr>
          <w:rFonts w:hint="eastAsia"/>
          <w:lang w:val="en-US" w:eastAsia="zh-CN"/>
        </w:rPr>
      </w:pPr>
      <w:r>
        <w:rPr>
          <w:rFonts w:hint="eastAsia"/>
          <w:lang w:val="en-US" w:eastAsia="zh-CN"/>
        </w:rPr>
        <w:t>通话状态下</w:t>
      </w:r>
    </w:p>
    <w:p w14:paraId="5C8A712C">
      <w:pPr>
        <w:bidi w:val="0"/>
        <w:rPr>
          <w:rFonts w:hint="default"/>
          <w:lang w:val="en-US" w:eastAsia="zh-CN"/>
        </w:rPr>
      </w:pPr>
      <w:r>
        <w:rPr>
          <w:rFonts w:hint="eastAsia"/>
          <w:lang w:val="en-US" w:eastAsia="zh-CN"/>
        </w:rPr>
        <w:t>单击则接听或挂断，长按一秒拒接</w:t>
      </w: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2.温馨提示</w:t>
      </w:r>
    </w:p>
    <w:p w14:paraId="420EA9A8">
      <w:pPr>
        <w:numPr>
          <w:ilvl w:val="0"/>
          <w:numId w:val="0"/>
        </w:numPr>
        <w:ind w:leftChars="0"/>
        <w:rPr>
          <w:rFonts w:hint="default"/>
          <w:lang w:val="en-US" w:eastAsia="zh-CN"/>
        </w:rPr>
      </w:pPr>
      <w:r>
        <w:rPr>
          <w:rFonts w:hint="default"/>
          <w:lang w:val="en-US" w:eastAsia="zh-CN"/>
        </w:rPr>
        <w:t>1.请勿暴力对待本产品，也不要用重物挤压，远离高温高湿环境;</w:t>
      </w:r>
    </w:p>
    <w:p w14:paraId="64CA0E56">
      <w:pPr>
        <w:numPr>
          <w:ilvl w:val="0"/>
          <w:numId w:val="0"/>
        </w:numPr>
        <w:ind w:leftChars="0"/>
        <w:rPr>
          <w:rFonts w:hint="default"/>
          <w:lang w:val="en-US" w:eastAsia="zh-CN"/>
        </w:rPr>
      </w:pPr>
      <w:r>
        <w:rPr>
          <w:rFonts w:hint="default"/>
          <w:lang w:val="en-US" w:eastAsia="zh-CN"/>
        </w:rPr>
        <w:t>2.远离WIF1、路由器及其它高频发射设备，这样会影响本机的信号接收造成声音的卡断及断连;</w:t>
      </w:r>
    </w:p>
    <w:p w14:paraId="6A9F2335">
      <w:pPr>
        <w:numPr>
          <w:ilvl w:val="0"/>
          <w:numId w:val="0"/>
        </w:numPr>
        <w:ind w:leftChars="0"/>
        <w:rPr>
          <w:rFonts w:hint="default"/>
          <w:lang w:val="en-US" w:eastAsia="zh-CN"/>
        </w:rPr>
      </w:pPr>
      <w:r>
        <w:rPr>
          <w:rFonts w:hint="default"/>
          <w:lang w:val="en-US" w:eastAsia="zh-CN"/>
        </w:rPr>
        <w:t>3.请在有效环境(10米)中使用本产品，并且蓝牙设备与耳机之间不要有实物阻挡(例如:墙壁等);</w:t>
      </w:r>
    </w:p>
    <w:p w14:paraId="33FC5D1B">
      <w:pPr>
        <w:numPr>
          <w:ilvl w:val="0"/>
          <w:numId w:val="0"/>
        </w:numPr>
        <w:ind w:leftChars="0"/>
        <w:rPr>
          <w:rFonts w:hint="default"/>
          <w:lang w:val="en-US" w:eastAsia="zh-CN"/>
        </w:rPr>
      </w:pPr>
      <w:r>
        <w:rPr>
          <w:rFonts w:hint="default"/>
          <w:lang w:val="en-US" w:eastAsia="zh-CN"/>
        </w:rPr>
        <w:t>4.当按下充电仓充电开关后充电仓底部闪蓝灯或不亮灯，这是提示充电仓没电了，请及时给充电仓充电。此时取出耳机自动开机和放入耳机自动关机的功能无效，需要手动触摸开关机;</w:t>
      </w:r>
    </w:p>
    <w:p w14:paraId="2B218587">
      <w:pPr>
        <w:numPr>
          <w:ilvl w:val="0"/>
          <w:numId w:val="0"/>
        </w:numPr>
        <w:ind w:leftChars="0"/>
        <w:rPr>
          <w:rFonts w:hint="default"/>
          <w:lang w:val="en-US" w:eastAsia="zh-CN"/>
        </w:rPr>
      </w:pPr>
      <w:r>
        <w:rPr>
          <w:rFonts w:hint="default"/>
          <w:lang w:val="en-US" w:eastAsia="zh-CN"/>
        </w:rPr>
        <w:t>5.使用过程如果其中1个耳机没有声音、或不停掉线、或自动开机、或无法开机，可能是该耳机没电了，此时需要放回充电仓充满电后才能继续使用，</w:t>
      </w:r>
    </w:p>
    <w:p w14:paraId="17EF4D88">
      <w:pPr>
        <w:numPr>
          <w:ilvl w:val="0"/>
          <w:numId w:val="0"/>
        </w:numPr>
        <w:ind w:leftChars="0"/>
        <w:rPr>
          <w:rFonts w:hint="default"/>
          <w:lang w:val="en-US" w:eastAsia="zh-CN"/>
        </w:rPr>
      </w:pPr>
      <w:r>
        <w:rPr>
          <w:rFonts w:hint="default"/>
          <w:lang w:val="en-US" w:eastAsia="zh-CN"/>
        </w:rPr>
        <w:t>6.当长期不使用耳机时，请将耳机放入充电仓，给充电仓充电至少50%的电量，然后存储于阴凉而干燥的环境中，并每隔1-2个月给充电仓充一次电，以免耳机内电池长期处于无电状态对电池造成损坏;</w:t>
      </w:r>
    </w:p>
    <w:p w14:paraId="42BA3AE9">
      <w:pPr>
        <w:numPr>
          <w:ilvl w:val="0"/>
          <w:numId w:val="0"/>
        </w:numPr>
        <w:ind w:leftChars="0"/>
        <w:rPr>
          <w:rFonts w:hint="default"/>
          <w:lang w:val="en-US" w:eastAsia="zh-CN"/>
        </w:rPr>
      </w:pPr>
      <w:r>
        <w:rPr>
          <w:rFonts w:hint="default"/>
          <w:lang w:val="en-US" w:eastAsia="zh-CN"/>
        </w:rPr>
        <w:t>7.根据耳机存放时间的长短，再次使用经长期存放的耳机时，它可能会处于电池电量不足状态。若要再度使用不能正常开机和亮灯，你可能需要先为其充电至少30 分钟。</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20DFCFD4">
      <w:pPr>
        <w:numPr>
          <w:ilvl w:val="0"/>
          <w:numId w:val="0"/>
        </w:numPr>
        <w:ind w:leftChars="0"/>
        <w:rPr>
          <w:rFonts w:ascii="宋体" w:hAnsi="宋体" w:eastAsia="宋体" w:cs="宋体"/>
          <w:sz w:val="24"/>
          <w:szCs w:val="24"/>
        </w:rPr>
      </w:pPr>
      <w:r>
        <w:drawing>
          <wp:inline distT="0" distB="0" distL="114300" distR="114300">
            <wp:extent cx="2734310" cy="3852545"/>
            <wp:effectExtent l="0" t="0" r="8890" b="146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8"/>
                    <a:stretch>
                      <a:fillRect/>
                    </a:stretch>
                  </pic:blipFill>
                  <pic:spPr>
                    <a:xfrm>
                      <a:off x="0" y="0"/>
                      <a:ext cx="2734310" cy="3852545"/>
                    </a:xfrm>
                    <a:prstGeom prst="rect">
                      <a:avLst/>
                    </a:prstGeom>
                    <a:noFill/>
                    <a:ln>
                      <a:noFill/>
                    </a:ln>
                  </pic:spPr>
                </pic:pic>
              </a:graphicData>
            </a:graphic>
          </wp:inline>
        </w:drawing>
      </w: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7C3271B2">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呼叫语音助手需要手机已安装有可以默认打开的语音</w:t>
      </w:r>
      <w:r>
        <w:rPr>
          <w:rFonts w:hint="eastAsia" w:ascii="宋体" w:hAnsi="宋体" w:eastAsia="宋体" w:cs="宋体"/>
          <w:sz w:val="24"/>
          <w:szCs w:val="24"/>
          <w:lang w:val="en-US" w:eastAsia="zh-CN"/>
        </w:rPr>
        <w:t>助手，例如苹果的siri，安卓的小爱同学，小度，华为助手等</w:t>
      </w:r>
    </w:p>
    <w:p w14:paraId="5D26B779">
      <w:pPr>
        <w:numPr>
          <w:ilvl w:val="0"/>
          <w:numId w:val="0"/>
        </w:numPr>
        <w:ind w:leftChars="0"/>
        <w:rPr>
          <w:rFonts w:hint="eastAsia" w:ascii="宋体" w:hAnsi="宋体" w:eastAsia="宋体" w:cs="宋体"/>
          <w:sz w:val="24"/>
          <w:szCs w:val="24"/>
          <w:lang w:val="en-US" w:eastAsia="zh-CN"/>
        </w:rPr>
      </w:pPr>
    </w:p>
    <w:p w14:paraId="2208820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1.请遵循本说明书的内容进行使用，避免产品因错误操作损坏</w:t>
      </w:r>
    </w:p>
    <w:p w14:paraId="1F073823">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2.本产品请远离儿童、火源、热源、冷冻源、水源及化学品。</w:t>
      </w:r>
    </w:p>
    <w:p w14:paraId="1FAD1C8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3.请勿长时间使用大音量收听，以免对听力造成不良影响。</w:t>
      </w:r>
    </w:p>
    <w:p w14:paraId="3D1A8A7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4.请勿将产品及附件浸入任何液体或用水冲洗产品，否则导致火灾或触电危险。5.请勿将产品放置在太阳晒射或者温度高的地方。高温会缩短电子部件的使用寿命、损坏电</w:t>
      </w:r>
    </w:p>
    <w:p w14:paraId="40CBBF5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池、使某些塑料部件变形。</w:t>
      </w:r>
    </w:p>
    <w:p w14:paraId="19D78E1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请勿将本产品放在尘土多、温度和湿度过高或过低的地方保存。</w:t>
      </w:r>
    </w:p>
    <w:p w14:paraId="73336E28">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请勿将磁条卡(例如银行卡、公交卡等)长期接触本产品，否则可能导致磁条卡被磁场损</w:t>
      </w:r>
    </w:p>
    <w:p w14:paraId="567DDB9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坏。</w:t>
      </w:r>
    </w:p>
    <w:p w14:paraId="1DC045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8.请勿在本产品上施加较大的压力，或拆卸、摔打、震动本产品，以防产品损坏9.请勿在靠近热源处使用本产品，如散热器、热风调节器、炉灶或其他产生热量的仪器</w:t>
      </w:r>
    </w:p>
    <w:p w14:paraId="7D5F852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10.请勿堵塞本产品的开口处，如充电口、指示灯、麦克风等。</w:t>
      </w:r>
    </w:p>
    <w:p w14:paraId="3BED9B0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11.请勿在暴雨天气下使用设备，雷暴可能导致设备出现故障，增大电击的风险12.请避免本产品及其配件雨淋或受潮，且激烈运动或出汗较多时使用本产品，防止液体渗透到产品内部损坏本产品。</w:t>
      </w:r>
    </w:p>
    <w:p w14:paraId="6560A90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13.产品属于内置聚合物理电池，不可更换，请勿丢弃或置以火中，以免爆炸、起火等危险发生。</w:t>
      </w:r>
    </w:p>
    <w:p w14:paraId="0188F643">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14.如因消费者违反上述警示而不恰当使用所造成的人身及财产损害将自行承担一切后果本公司将不产生任何法律责任。</w:t>
      </w:r>
      <w:bookmarkStart w:id="0" w:name="_GoBack"/>
      <w:bookmarkEnd w:id="0"/>
    </w:p>
    <w:p w14:paraId="0EC6AC91">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0DA12A62">
      <w:pPr>
        <w:pStyle w:val="2"/>
        <w:keepNext w:val="0"/>
        <w:keepLines w:val="0"/>
        <w:widowControl/>
        <w:suppressLineNumbers w:val="0"/>
      </w:pPr>
      <w:r>
        <w:t xml:space="preserve">充电使用max 5v1a充电器或者使用电脑USB接口充电即可 </w:t>
      </w:r>
    </w:p>
    <w:p w14:paraId="02A331D4">
      <w:pPr>
        <w:pStyle w:val="2"/>
        <w:keepNext w:val="0"/>
        <w:keepLines w:val="0"/>
        <w:widowControl/>
        <w:suppressLineNumbers w:val="0"/>
      </w:pPr>
      <w:r>
        <w:t xml:space="preserve">手机快充充电器会导致充电过载，引起断路或者烧毁，请按照要求使用充电 </w:t>
      </w:r>
    </w:p>
    <w:p w14:paraId="572CB7D4">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9230" cy="2792095"/>
            <wp:effectExtent l="0" t="0" r="7620" b="8255"/>
            <wp:docPr id="23" name="图片 23" descr="0b4dd34882efd255607e16eb2c2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b4dd34882efd255607e16eb2c205800"/>
                    <pic:cNvPicPr>
                      <a:picLocks noChangeAspect="1"/>
                    </pic:cNvPicPr>
                  </pic:nvPicPr>
                  <pic:blipFill>
                    <a:blip r:embed="rId9"/>
                    <a:stretch>
                      <a:fillRect/>
                    </a:stretch>
                  </pic:blipFill>
                  <pic:spPr>
                    <a:xfrm>
                      <a:off x="0" y="0"/>
                      <a:ext cx="5269230" cy="2792095"/>
                    </a:xfrm>
                    <a:prstGeom prst="rect">
                      <a:avLst/>
                    </a:prstGeom>
                  </pic:spPr>
                </pic:pic>
              </a:graphicData>
            </a:graphic>
          </wp:inline>
        </w:drawing>
      </w:r>
    </w:p>
    <w:p w14:paraId="3A6D66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2601595"/>
            <wp:effectExtent l="0" t="0" r="6350" b="8255"/>
            <wp:docPr id="24" name="图片 24" descr="6d999c07ffc38cf8dded260ddc78f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d999c07ffc38cf8dded260ddc78f588"/>
                    <pic:cNvPicPr>
                      <a:picLocks noChangeAspect="1"/>
                    </pic:cNvPicPr>
                  </pic:nvPicPr>
                  <pic:blipFill>
                    <a:blip r:embed="rId10"/>
                    <a:stretch>
                      <a:fillRect/>
                    </a:stretch>
                  </pic:blipFill>
                  <pic:spPr>
                    <a:xfrm>
                      <a:off x="0" y="0"/>
                      <a:ext cx="5270500" cy="2601595"/>
                    </a:xfrm>
                    <a:prstGeom prst="rect">
                      <a:avLst/>
                    </a:prstGeom>
                  </pic:spPr>
                </pic:pic>
              </a:graphicData>
            </a:graphic>
          </wp:inline>
        </w:drawing>
      </w:r>
    </w:p>
    <w:p w14:paraId="2E2908AB">
      <w:pPr>
        <w:numPr>
          <w:ilvl w:val="0"/>
          <w:numId w:val="0"/>
        </w:numPr>
        <w:ind w:leftChars="0"/>
        <w:rPr>
          <w:rFonts w:hint="eastAsia" w:ascii="宋体" w:hAnsi="宋体" w:eastAsia="宋体" w:cs="宋体"/>
          <w:sz w:val="24"/>
          <w:szCs w:val="24"/>
          <w:lang w:val="en-US" w:eastAsia="zh-CN"/>
        </w:rPr>
      </w:pPr>
    </w:p>
    <w:p w14:paraId="586128BB">
      <w:pPr>
        <w:numPr>
          <w:ilvl w:val="0"/>
          <w:numId w:val="0"/>
        </w:numPr>
        <w:ind w:leftChars="0"/>
        <w:rPr>
          <w:rFonts w:hint="eastAsia" w:ascii="宋体" w:hAnsi="宋体" w:eastAsia="宋体" w:cs="宋体"/>
          <w:sz w:val="24"/>
          <w:szCs w:val="24"/>
          <w:lang w:val="en-US" w:eastAsia="zh-CN"/>
        </w:rPr>
      </w:pPr>
    </w:p>
    <w:p w14:paraId="1870BE66">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故障：耳机左/右声音不一致</w:t>
      </w:r>
    </w:p>
    <w:p w14:paraId="3338709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原因：电量过低或调整过左右音频均衡器</w:t>
      </w:r>
    </w:p>
    <w:p w14:paraId="5518AA46">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解决办法：通过手机的设置---辅助功能---音频与视觉中的左右耳机均衡器调整左右耳声音大小。安卓可参考手机的设置---无障碍模式---听觉---音频均衡器</w:t>
      </w:r>
    </w:p>
    <w:p w14:paraId="29965547">
      <w:pPr>
        <w:numPr>
          <w:ilvl w:val="0"/>
          <w:numId w:val="0"/>
        </w:numPr>
        <w:ind w:leftChars="0"/>
      </w:pPr>
      <w:r>
        <w:rPr>
          <w:rFonts w:hint="eastAsia" w:ascii="宋体" w:hAnsi="宋体" w:eastAsia="宋体" w:cs="宋体"/>
          <w:sz w:val="24"/>
          <w:szCs w:val="24"/>
          <w:lang w:val="en-US" w:eastAsia="zh-CN"/>
        </w:rPr>
        <w:drawing>
          <wp:inline distT="0" distB="0" distL="114300" distR="114300">
            <wp:extent cx="2308860" cy="5005070"/>
            <wp:effectExtent l="0" t="0" r="15240" b="5080"/>
            <wp:docPr id="14" name="图片 14" descr="36015eb6f29b6e93aba2d843cba5e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6015eb6f29b6e93aba2d843cba5e6c9"/>
                    <pic:cNvPicPr>
                      <a:picLocks noChangeAspect="1"/>
                    </pic:cNvPicPr>
                  </pic:nvPicPr>
                  <pic:blipFill>
                    <a:blip r:embed="rId11"/>
                    <a:stretch>
                      <a:fillRect/>
                    </a:stretch>
                  </pic:blipFill>
                  <pic:spPr>
                    <a:xfrm>
                      <a:off x="0" y="0"/>
                      <a:ext cx="2308860" cy="5005070"/>
                    </a:xfrm>
                    <a:prstGeom prst="rect">
                      <a:avLst/>
                    </a:prstGeom>
                  </pic:spPr>
                </pic:pic>
              </a:graphicData>
            </a:graphic>
          </wp:inline>
        </w:drawing>
      </w:r>
      <w:r>
        <w:drawing>
          <wp:inline distT="0" distB="0" distL="114300" distR="114300">
            <wp:extent cx="2529840" cy="5054600"/>
            <wp:effectExtent l="0" t="0" r="3810" b="1270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2"/>
                    <a:stretch>
                      <a:fillRect/>
                    </a:stretch>
                  </pic:blipFill>
                  <pic:spPr>
                    <a:xfrm>
                      <a:off x="0" y="0"/>
                      <a:ext cx="2529840" cy="5054600"/>
                    </a:xfrm>
                    <a:prstGeom prst="rect">
                      <a:avLst/>
                    </a:prstGeom>
                    <a:noFill/>
                    <a:ln>
                      <a:noFill/>
                    </a:ln>
                  </pic:spPr>
                </pic:pic>
              </a:graphicData>
            </a:graphic>
          </wp:inline>
        </w:drawing>
      </w:r>
    </w:p>
    <w:p w14:paraId="705A43F0">
      <w:pPr>
        <w:numPr>
          <w:ilvl w:val="0"/>
          <w:numId w:val="0"/>
        </w:numPr>
        <w:ind w:leftChars="0"/>
      </w:pPr>
    </w:p>
    <w:p w14:paraId="0FA8E25A">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故障：通话时耳机非首选项或直接调动手机扬声器/听筒</w:t>
      </w:r>
    </w:p>
    <w:p w14:paraId="20EEB2D7">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原因：耳机设置错误</w:t>
      </w:r>
    </w:p>
    <w:p w14:paraId="7807ACD5">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触控中的通话音频路径调整为蓝牙耳机即可。安卓可参考手机在连接蓝牙时勾选允许访问您的通讯录和通话记录并点击对应的蓝牙耳机名称进入耳机的设置中，打开通话音频以及与本机音量同步（如果有）</w:t>
      </w:r>
    </w:p>
    <w:p w14:paraId="1184AD3A">
      <w:pPr>
        <w:numPr>
          <w:ilvl w:val="0"/>
          <w:numId w:val="0"/>
        </w:numPr>
        <w:ind w:leftChars="0"/>
        <w:rPr>
          <w:rFonts w:hint="default" w:ascii="宋体" w:hAnsi="宋体" w:eastAsia="宋体" w:cs="宋体"/>
          <w:sz w:val="24"/>
          <w:szCs w:val="24"/>
          <w:lang w:val="en-US" w:eastAsia="zh-CN"/>
        </w:rPr>
      </w:pPr>
      <w:r>
        <w:drawing>
          <wp:inline distT="0" distB="0" distL="114300" distR="114300">
            <wp:extent cx="1663065" cy="3323590"/>
            <wp:effectExtent l="0" t="0" r="13335" b="1016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3"/>
                    <a:stretch>
                      <a:fillRect/>
                    </a:stretch>
                  </pic:blipFill>
                  <pic:spPr>
                    <a:xfrm>
                      <a:off x="0" y="0"/>
                      <a:ext cx="1663065" cy="3323590"/>
                    </a:xfrm>
                    <a:prstGeom prst="rect">
                      <a:avLst/>
                    </a:prstGeom>
                    <a:noFill/>
                    <a:ln>
                      <a:noFill/>
                    </a:ln>
                  </pic:spPr>
                </pic:pic>
              </a:graphicData>
            </a:graphic>
          </wp:inline>
        </w:drawing>
      </w:r>
      <w:r>
        <w:drawing>
          <wp:inline distT="0" distB="0" distL="114300" distR="114300">
            <wp:extent cx="1531620" cy="3333750"/>
            <wp:effectExtent l="0" t="0" r="1143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4"/>
                    <a:stretch>
                      <a:fillRect/>
                    </a:stretch>
                  </pic:blipFill>
                  <pic:spPr>
                    <a:xfrm>
                      <a:off x="0" y="0"/>
                      <a:ext cx="1531620" cy="3333750"/>
                    </a:xfrm>
                    <a:prstGeom prst="rect">
                      <a:avLst/>
                    </a:prstGeom>
                    <a:noFill/>
                    <a:ln>
                      <a:noFill/>
                    </a:ln>
                  </pic:spPr>
                </pic:pic>
              </a:graphicData>
            </a:graphic>
          </wp:inline>
        </w:drawing>
      </w:r>
      <w:r>
        <w:drawing>
          <wp:inline distT="0" distB="0" distL="114300" distR="114300">
            <wp:extent cx="1809115" cy="3335655"/>
            <wp:effectExtent l="0" t="0" r="635" b="1714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5"/>
                    <a:stretch>
                      <a:fillRect/>
                    </a:stretch>
                  </pic:blipFill>
                  <pic:spPr>
                    <a:xfrm>
                      <a:off x="0" y="0"/>
                      <a:ext cx="1809115" cy="3335655"/>
                    </a:xfrm>
                    <a:prstGeom prst="rect">
                      <a:avLst/>
                    </a:prstGeom>
                    <a:noFill/>
                    <a:ln>
                      <a:noFill/>
                    </a:ln>
                  </pic:spPr>
                </pic:pic>
              </a:graphicData>
            </a:graphic>
          </wp:inline>
        </w:drawing>
      </w:r>
    </w:p>
    <w:p w14:paraId="6BBC629E">
      <w:pPr>
        <w:numPr>
          <w:ilvl w:val="0"/>
          <w:numId w:val="0"/>
        </w:numPr>
        <w:ind w:leftChars="0"/>
        <w:rPr>
          <w:rFonts w:hint="eastAsia" w:ascii="宋体" w:hAnsi="宋体" w:eastAsia="宋体" w:cs="宋体"/>
          <w:sz w:val="24"/>
          <w:szCs w:val="24"/>
          <w:lang w:val="en-US" w:eastAsia="zh-CN"/>
        </w:rPr>
      </w:pPr>
    </w:p>
    <w:p w14:paraId="34768B55">
      <w:pPr>
        <w:numPr>
          <w:ilvl w:val="0"/>
          <w:numId w:val="0"/>
        </w:numPr>
        <w:ind w:leftChars="0"/>
        <w:rPr>
          <w:rFonts w:hint="eastAsia" w:ascii="宋体" w:hAnsi="宋体" w:eastAsia="宋体" w:cs="宋体"/>
          <w:sz w:val="24"/>
          <w:szCs w:val="24"/>
          <w:lang w:val="en-US" w:eastAsia="zh-CN"/>
        </w:rPr>
      </w:pPr>
    </w:p>
    <w:p w14:paraId="39BC98AF">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不开机</w:t>
      </w:r>
    </w:p>
    <w:p w14:paraId="04AECE3F">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777E759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1A007598">
      <w:pPr>
        <w:numPr>
          <w:ilvl w:val="0"/>
          <w:numId w:val="0"/>
        </w:numPr>
        <w:ind w:leftChars="0"/>
        <w:rPr>
          <w:rFonts w:hint="default" w:ascii="宋体" w:hAnsi="宋体" w:eastAsia="宋体" w:cs="宋体"/>
          <w:sz w:val="24"/>
          <w:szCs w:val="24"/>
          <w:lang w:val="en-US" w:eastAsia="zh-CN"/>
        </w:rPr>
      </w:pPr>
    </w:p>
    <w:p w14:paraId="185158F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耳机闪红灯充电无提示自动关机</w:t>
      </w:r>
    </w:p>
    <w:p w14:paraId="4945479F">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耳机没有放好</w:t>
      </w:r>
    </w:p>
    <w:p w14:paraId="20115DD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3C81FAC0">
      <w:pPr>
        <w:numPr>
          <w:ilvl w:val="0"/>
          <w:numId w:val="0"/>
        </w:numPr>
        <w:ind w:leftChars="0"/>
        <w:rPr>
          <w:rFonts w:hint="default" w:ascii="宋体" w:hAnsi="宋体" w:eastAsia="宋体" w:cs="宋体"/>
          <w:sz w:val="24"/>
          <w:szCs w:val="24"/>
          <w:lang w:val="en-US" w:eastAsia="zh-CN"/>
        </w:rPr>
      </w:pPr>
    </w:p>
    <w:p w14:paraId="026078DE">
      <w:pPr>
        <w:numPr>
          <w:ilvl w:val="0"/>
          <w:numId w:val="0"/>
        </w:numPr>
        <w:ind w:leftChars="0"/>
        <w:rPr>
          <w:rFonts w:hint="default" w:ascii="宋体" w:hAnsi="宋体" w:eastAsia="宋体" w:cs="宋体"/>
          <w:sz w:val="24"/>
          <w:szCs w:val="24"/>
          <w:lang w:val="en-US" w:eastAsia="zh-CN"/>
        </w:rPr>
      </w:pPr>
    </w:p>
    <w:p w14:paraId="3717762F">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耳机有回音</w:t>
      </w:r>
    </w:p>
    <w:p w14:paraId="0C9F7BF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2DB88C5A">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调整耳机放置的位置</w:t>
      </w:r>
    </w:p>
    <w:p w14:paraId="6FA9AD6F">
      <w:pPr>
        <w:numPr>
          <w:ilvl w:val="0"/>
          <w:numId w:val="0"/>
        </w:numPr>
        <w:ind w:leftChars="0"/>
        <w:rPr>
          <w:rFonts w:hint="default" w:ascii="宋体" w:hAnsi="宋体" w:eastAsia="宋体" w:cs="宋体"/>
          <w:sz w:val="24"/>
          <w:szCs w:val="24"/>
          <w:lang w:val="en-US" w:eastAsia="zh-CN"/>
        </w:rPr>
      </w:pPr>
    </w:p>
    <w:p w14:paraId="2BB417C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耳机有杂音</w:t>
      </w:r>
    </w:p>
    <w:p w14:paraId="4DDB073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音量太大或者环境太嘈杂</w:t>
      </w:r>
    </w:p>
    <w:p w14:paraId="195B073F">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调节音量或更换环境</w:t>
      </w:r>
    </w:p>
    <w:p w14:paraId="0730C4B9">
      <w:pPr>
        <w:numPr>
          <w:ilvl w:val="0"/>
          <w:numId w:val="0"/>
        </w:numPr>
        <w:ind w:leftChars="0"/>
        <w:rPr>
          <w:rFonts w:hint="default" w:ascii="宋体" w:hAnsi="宋体" w:eastAsia="宋体" w:cs="宋体"/>
          <w:sz w:val="24"/>
          <w:szCs w:val="24"/>
          <w:lang w:val="en-US" w:eastAsia="zh-CN"/>
        </w:rPr>
      </w:pPr>
    </w:p>
    <w:p w14:paraId="4F67787C">
      <w:pPr>
        <w:numPr>
          <w:ilvl w:val="0"/>
          <w:numId w:val="0"/>
        </w:numPr>
        <w:ind w:leftChars="0"/>
        <w:rPr>
          <w:rFonts w:hint="default" w:ascii="宋体" w:hAnsi="宋体" w:eastAsia="宋体" w:cs="宋体"/>
          <w:sz w:val="24"/>
          <w:szCs w:val="24"/>
          <w:lang w:val="en-US" w:eastAsia="zh-CN"/>
        </w:rPr>
      </w:pPr>
    </w:p>
    <w:p w14:paraId="6A4AFE2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对方声音小</w:t>
      </w:r>
    </w:p>
    <w:p w14:paraId="18EBE5F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耳机佩戴不正确或音量太小</w:t>
      </w:r>
    </w:p>
    <w:p w14:paraId="64C40DF8">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更换地点或靠近手机</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调节耳机佩带或音量大小</w:t>
      </w:r>
    </w:p>
    <w:p w14:paraId="7A5B6ED8">
      <w:pPr>
        <w:numPr>
          <w:ilvl w:val="0"/>
          <w:numId w:val="0"/>
        </w:numPr>
        <w:ind w:leftChars="0"/>
        <w:rPr>
          <w:rFonts w:hint="default" w:ascii="宋体" w:hAnsi="宋体" w:eastAsia="宋体" w:cs="宋体"/>
          <w:sz w:val="24"/>
          <w:szCs w:val="24"/>
          <w:lang w:val="en-US" w:eastAsia="zh-CN"/>
        </w:rPr>
      </w:pPr>
    </w:p>
    <w:p w14:paraId="2B294EF0">
      <w:pPr>
        <w:numPr>
          <w:ilvl w:val="0"/>
          <w:numId w:val="0"/>
        </w:numPr>
        <w:ind w:leftChars="0"/>
        <w:rPr>
          <w:rFonts w:hint="default" w:ascii="宋体" w:hAnsi="宋体" w:eastAsia="宋体" w:cs="宋体"/>
          <w:sz w:val="24"/>
          <w:szCs w:val="24"/>
          <w:lang w:val="en-US" w:eastAsia="zh-CN"/>
        </w:rPr>
      </w:pPr>
    </w:p>
    <w:p w14:paraId="571BC00C">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信号断续</w:t>
      </w:r>
    </w:p>
    <w:p w14:paraId="7B7BAD0A">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外界于扰严重或距离手机太远</w:t>
      </w:r>
    </w:p>
    <w:p w14:paraId="5717C5A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选择无干扰的环境或靠近手机</w:t>
      </w:r>
    </w:p>
    <w:p w14:paraId="09BFF48E">
      <w:pPr>
        <w:numPr>
          <w:ilvl w:val="0"/>
          <w:numId w:val="0"/>
        </w:numPr>
        <w:ind w:leftChars="0"/>
        <w:rPr>
          <w:rFonts w:hint="default" w:ascii="宋体" w:hAnsi="宋体" w:eastAsia="宋体" w:cs="宋体"/>
          <w:sz w:val="24"/>
          <w:szCs w:val="24"/>
          <w:lang w:val="en-US" w:eastAsia="zh-CN"/>
        </w:rPr>
      </w:pPr>
    </w:p>
    <w:p w14:paraId="0F57C089">
      <w:pPr>
        <w:numPr>
          <w:ilvl w:val="0"/>
          <w:numId w:val="0"/>
        </w:numPr>
        <w:ind w:leftChars="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8837DB79"/>
    <w:multiLevelType w:val="singleLevel"/>
    <w:tmpl w:val="8837DB79"/>
    <w:lvl w:ilvl="0" w:tentative="0">
      <w:start w:val="6"/>
      <w:numFmt w:val="decimal"/>
      <w:lvlText w:val="%1."/>
      <w:lvlJc w:val="left"/>
      <w:pPr>
        <w:tabs>
          <w:tab w:val="left" w:pos="312"/>
        </w:tabs>
      </w:pPr>
    </w:lvl>
  </w:abstractNum>
  <w:abstractNum w:abstractNumId="2">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209D4D0F"/>
    <w:rsid w:val="2FDF1654"/>
    <w:rsid w:val="3DFD6502"/>
    <w:rsid w:val="41745DDF"/>
    <w:rsid w:val="46D62C5E"/>
    <w:rsid w:val="49043DA8"/>
    <w:rsid w:val="49783A3E"/>
    <w:rsid w:val="4AEB65AE"/>
    <w:rsid w:val="4CB701C3"/>
    <w:rsid w:val="4E6E2332"/>
    <w:rsid w:val="5465613A"/>
    <w:rsid w:val="57A16FE4"/>
    <w:rsid w:val="5DAC743B"/>
    <w:rsid w:val="5E1C257C"/>
    <w:rsid w:val="6C417D7E"/>
    <w:rsid w:val="6CB13B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1054</Words>
  <Characters>1091</Characters>
  <Lines>0</Lines>
  <Paragraphs>0</Paragraphs>
  <TotalTime>0</TotalTime>
  <ScaleCrop>false</ScaleCrop>
  <LinksUpToDate>false</LinksUpToDate>
  <CharactersWithSpaces>1092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SCP-G基金</cp:lastModifiedBy>
  <dcterms:modified xsi:type="dcterms:W3CDTF">2025-09-12T02:57:06Z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